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ordWrap w:val="0"/>
        <w:jc w:val="left"/>
        <w:rPr>
          <w:rFonts w:hint="eastAsia" w:ascii="黑体" w:hAnsi="黑体" w:eastAsia="黑体" w:cs="黑体"/>
          <w:sz w:val="32"/>
          <w:szCs w:val="32"/>
          <w:lang w:val="en-US" w:eastAsia="zh-CN"/>
        </w:rPr>
      </w:pPr>
      <w:r>
        <w:rPr>
          <w:rFonts w:hint="eastAsia" w:ascii="黑体" w:hAnsi="黑体" w:eastAsia="黑体" w:cs="黑体"/>
          <w:sz w:val="32"/>
          <w:szCs w:val="32"/>
          <w:lang w:val="en-US" w:eastAsia="zh-CN"/>
        </w:rPr>
        <w:t>附件1</w:t>
      </w:r>
    </w:p>
    <w:p>
      <w:pPr>
        <w:wordWrap w:val="0"/>
        <w:jc w:val="center"/>
        <w:rPr>
          <w:rFonts w:hint="eastAsia" w:ascii="方正公文小标宋" w:hAnsi="方正公文小标宋" w:eastAsia="方正公文小标宋" w:cs="方正公文小标宋"/>
          <w:sz w:val="44"/>
          <w:szCs w:val="44"/>
          <w:lang w:val="en-US" w:eastAsia="zh-CN"/>
        </w:rPr>
      </w:pPr>
      <w:bookmarkStart w:id="0" w:name="_GoBack"/>
      <w:r>
        <w:rPr>
          <w:rFonts w:hint="eastAsia" w:ascii="方正公文小标宋" w:hAnsi="方正公文小标宋" w:eastAsia="方正公文小标宋" w:cs="方正公文小标宋"/>
          <w:sz w:val="44"/>
          <w:szCs w:val="44"/>
          <w:lang w:val="en-US" w:eastAsia="zh-CN"/>
        </w:rPr>
        <w:t>绵阳达坤投资有限公司关于面向社会公开招聘管理人员需求表</w:t>
      </w:r>
    </w:p>
    <w:bookmarkEnd w:id="0"/>
    <w:tbl>
      <w:tblPr>
        <w:tblStyle w:val="7"/>
        <w:tblpPr w:leftFromText="180" w:rightFromText="180" w:vertAnchor="text" w:horzAnchor="page" w:tblpX="1639" w:tblpY="390"/>
        <w:tblOverlap w:val="never"/>
        <w:tblW w:w="4959"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322"/>
        <w:gridCol w:w="804"/>
        <w:gridCol w:w="6787"/>
        <w:gridCol w:w="514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0" w:hRule="atLeast"/>
        </w:trPr>
        <w:tc>
          <w:tcPr>
            <w:tcW w:w="470" w:type="pct"/>
            <w:noWrap w:val="0"/>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ascii="楷体_GB2312" w:hAnsi="楷体_GB2312" w:eastAsia="楷体_GB2312" w:cs="楷体_GB2312"/>
                <w:b/>
                <w:bCs/>
                <w:sz w:val="24"/>
                <w:szCs w:val="24"/>
                <w:vertAlign w:val="baseline"/>
                <w:lang w:val="en-US" w:eastAsia="zh-CN"/>
              </w:rPr>
            </w:pPr>
            <w:r>
              <w:rPr>
                <w:rFonts w:hint="eastAsia" w:ascii="楷体_GB2312" w:hAnsi="楷体_GB2312" w:eastAsia="楷体_GB2312" w:cs="楷体_GB2312"/>
                <w:b/>
                <w:bCs/>
                <w:sz w:val="24"/>
                <w:szCs w:val="24"/>
                <w:vertAlign w:val="baseline"/>
                <w:lang w:val="en-US" w:eastAsia="zh-CN"/>
              </w:rPr>
              <w:t>职位名称</w:t>
            </w:r>
          </w:p>
        </w:tc>
        <w:tc>
          <w:tcPr>
            <w:tcW w:w="286" w:type="pct"/>
            <w:noWrap w:val="0"/>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ascii="楷体_GB2312" w:hAnsi="楷体_GB2312" w:eastAsia="楷体_GB2312" w:cs="楷体_GB2312"/>
                <w:b/>
                <w:bCs/>
                <w:sz w:val="24"/>
                <w:szCs w:val="24"/>
                <w:vertAlign w:val="baseline"/>
                <w:lang w:val="en-US" w:eastAsia="zh-CN"/>
              </w:rPr>
            </w:pPr>
            <w:r>
              <w:rPr>
                <w:rFonts w:hint="eastAsia" w:ascii="楷体_GB2312" w:hAnsi="楷体_GB2312" w:eastAsia="楷体_GB2312" w:cs="楷体_GB2312"/>
                <w:b/>
                <w:bCs/>
                <w:sz w:val="24"/>
                <w:szCs w:val="24"/>
                <w:vertAlign w:val="baseline"/>
                <w:lang w:val="en-US" w:eastAsia="zh-CN"/>
              </w:rPr>
              <w:t>人数</w:t>
            </w:r>
          </w:p>
        </w:tc>
        <w:tc>
          <w:tcPr>
            <w:tcW w:w="2413" w:type="pct"/>
            <w:noWrap w:val="0"/>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ascii="楷体_GB2312" w:hAnsi="楷体_GB2312" w:eastAsia="楷体_GB2312" w:cs="楷体_GB2312"/>
                <w:b/>
                <w:bCs/>
                <w:sz w:val="24"/>
                <w:szCs w:val="24"/>
                <w:vertAlign w:val="baseline"/>
                <w:lang w:val="en-US" w:eastAsia="zh-CN"/>
              </w:rPr>
            </w:pPr>
            <w:r>
              <w:rPr>
                <w:rFonts w:hint="eastAsia" w:ascii="楷体_GB2312" w:hAnsi="楷体_GB2312" w:eastAsia="楷体_GB2312" w:cs="楷体_GB2312"/>
                <w:b/>
                <w:bCs/>
                <w:sz w:val="24"/>
                <w:szCs w:val="24"/>
                <w:vertAlign w:val="baseline"/>
                <w:lang w:val="en-US" w:eastAsia="zh-CN"/>
              </w:rPr>
              <w:t>岗位主要职责</w:t>
            </w:r>
          </w:p>
        </w:tc>
        <w:tc>
          <w:tcPr>
            <w:tcW w:w="1829" w:type="pct"/>
            <w:noWrap w:val="0"/>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ascii="楷体_GB2312" w:hAnsi="楷体_GB2312" w:eastAsia="楷体_GB2312" w:cs="楷体_GB2312"/>
                <w:b/>
                <w:bCs/>
                <w:sz w:val="24"/>
                <w:szCs w:val="24"/>
                <w:vertAlign w:val="baseline"/>
                <w:lang w:val="en-US" w:eastAsia="zh-CN"/>
              </w:rPr>
            </w:pPr>
            <w:r>
              <w:rPr>
                <w:rFonts w:hint="eastAsia" w:ascii="楷体_GB2312" w:hAnsi="楷体_GB2312" w:eastAsia="楷体_GB2312" w:cs="楷体_GB2312"/>
                <w:b/>
                <w:bCs/>
                <w:sz w:val="24"/>
                <w:szCs w:val="24"/>
                <w:vertAlign w:val="baseline"/>
                <w:lang w:val="en-US" w:eastAsia="zh-CN"/>
              </w:rPr>
              <w:t>报名资格条件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76" w:hRule="atLeast"/>
        </w:trPr>
        <w:tc>
          <w:tcPr>
            <w:tcW w:w="470" w:type="pct"/>
            <w:noWrap w:val="0"/>
            <w:vAlign w:val="center"/>
          </w:tcPr>
          <w:p>
            <w:pPr>
              <w:pStyle w:val="4"/>
              <w:keepNext w:val="0"/>
              <w:keepLines w:val="0"/>
              <w:pageBreakBefore w:val="0"/>
              <w:widowControl w:val="0"/>
              <w:kinsoku/>
              <w:wordWrap/>
              <w:overflowPunct/>
              <w:topLinePunct w:val="0"/>
              <w:autoSpaceDE/>
              <w:autoSpaceDN/>
              <w:bidi w:val="0"/>
              <w:adjustRightInd/>
              <w:snapToGrid/>
              <w:spacing w:after="0"/>
              <w:ind w:left="0" w:leftChars="0"/>
              <w:jc w:val="center"/>
              <w:textAlignment w:val="auto"/>
              <w:rPr>
                <w:rFonts w:hint="default"/>
                <w:lang w:val="en-US" w:eastAsia="zh-CN"/>
              </w:rPr>
            </w:pPr>
            <w:r>
              <w:rPr>
                <w:rFonts w:hint="eastAsia" w:ascii="仿宋_GB2312" w:hAnsi="仿宋_GB2312" w:cs="仿宋_GB2312"/>
                <w:sz w:val="24"/>
                <w:szCs w:val="24"/>
                <w:highlight w:val="none"/>
                <w:vertAlign w:val="baseline"/>
                <w:lang w:val="en-US" w:eastAsia="zh-CN"/>
              </w:rPr>
              <w:t>财务总监</w:t>
            </w:r>
          </w:p>
        </w:tc>
        <w:tc>
          <w:tcPr>
            <w:tcW w:w="286"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_GB2312" w:hAnsi="仿宋_GB2312" w:eastAsia="仿宋_GB2312" w:cs="仿宋_GB2312"/>
                <w:sz w:val="24"/>
                <w:szCs w:val="24"/>
                <w:vertAlign w:val="baseline"/>
                <w:lang w:val="en-US" w:eastAsia="zh-CN"/>
              </w:rPr>
            </w:pPr>
            <w:r>
              <w:rPr>
                <w:rFonts w:hint="eastAsia" w:ascii="仿宋_GB2312" w:hAnsi="仿宋_GB2312" w:cs="仿宋_GB2312"/>
                <w:sz w:val="24"/>
                <w:szCs w:val="24"/>
                <w:vertAlign w:val="baseline"/>
                <w:lang w:val="en-US" w:eastAsia="zh-CN"/>
              </w:rPr>
              <w:t>1</w:t>
            </w:r>
          </w:p>
        </w:tc>
        <w:tc>
          <w:tcPr>
            <w:tcW w:w="2413" w:type="pct"/>
            <w:noWrap w:val="0"/>
            <w:vAlign w:val="center"/>
          </w:tcPr>
          <w:p>
            <w:pPr>
              <w:keepNext w:val="0"/>
              <w:keepLines w:val="0"/>
              <w:pageBreakBefore w:val="0"/>
              <w:widowControl w:val="0"/>
              <w:numPr>
                <w:ilvl w:val="0"/>
                <w:numId w:val="1"/>
              </w:numPr>
              <w:kinsoku/>
              <w:wordWrap/>
              <w:overflowPunct/>
              <w:topLinePunct w:val="0"/>
              <w:autoSpaceDE/>
              <w:autoSpaceDN/>
              <w:bidi w:val="0"/>
              <w:adjustRightInd/>
              <w:snapToGrid/>
              <w:spacing w:line="300" w:lineRule="exact"/>
              <w:jc w:val="left"/>
              <w:textAlignment w:val="auto"/>
              <w:rPr>
                <w:rFonts w:hint="eastAsia" w:ascii="仿宋_GB2312" w:hAnsi="仿宋_GB2312" w:eastAsia="仿宋_GB2312" w:cs="仿宋_GB2312"/>
                <w:kern w:val="2"/>
                <w:sz w:val="24"/>
                <w:szCs w:val="24"/>
                <w:highlight w:val="none"/>
                <w:vertAlign w:val="baseline"/>
                <w:lang w:val="en-US" w:eastAsia="zh-CN" w:bidi="ar-SA"/>
              </w:rPr>
            </w:pPr>
            <w:r>
              <w:rPr>
                <w:rFonts w:hint="eastAsia" w:ascii="仿宋_GB2312" w:hAnsi="仿宋_GB2312" w:eastAsia="仿宋_GB2312" w:cs="仿宋_GB2312"/>
                <w:kern w:val="2"/>
                <w:sz w:val="24"/>
                <w:szCs w:val="24"/>
                <w:highlight w:val="none"/>
                <w:vertAlign w:val="baseline"/>
                <w:lang w:val="en-US" w:eastAsia="zh-CN" w:bidi="ar-SA"/>
              </w:rPr>
              <w:t>负责根据公司战略发展规划拟定公司的财务目标、政策及操作程序，经总经理、董事会批准后，监督执行。</w:t>
            </w:r>
          </w:p>
          <w:p>
            <w:pPr>
              <w:keepNext w:val="0"/>
              <w:keepLines w:val="0"/>
              <w:pageBreakBefore w:val="0"/>
              <w:widowControl w:val="0"/>
              <w:numPr>
                <w:ilvl w:val="0"/>
                <w:numId w:val="1"/>
              </w:numPr>
              <w:kinsoku/>
              <w:wordWrap/>
              <w:overflowPunct/>
              <w:topLinePunct w:val="0"/>
              <w:autoSpaceDE/>
              <w:autoSpaceDN/>
              <w:bidi w:val="0"/>
              <w:adjustRightInd/>
              <w:snapToGrid/>
              <w:spacing w:line="300" w:lineRule="exact"/>
              <w:jc w:val="left"/>
              <w:textAlignment w:val="auto"/>
              <w:rPr>
                <w:rFonts w:hint="eastAsia" w:ascii="仿宋_GB2312" w:hAnsi="仿宋_GB2312" w:eastAsia="仿宋_GB2312" w:cs="仿宋_GB2312"/>
                <w:kern w:val="2"/>
                <w:sz w:val="24"/>
                <w:szCs w:val="24"/>
                <w:highlight w:val="none"/>
                <w:vertAlign w:val="baseline"/>
                <w:lang w:val="en-US" w:eastAsia="zh-CN" w:bidi="ar-SA"/>
              </w:rPr>
            </w:pPr>
            <w:r>
              <w:rPr>
                <w:rFonts w:hint="eastAsia" w:ascii="仿宋_GB2312" w:hAnsi="仿宋_GB2312" w:eastAsia="仿宋_GB2312" w:cs="仿宋_GB2312"/>
                <w:kern w:val="2"/>
                <w:sz w:val="24"/>
                <w:szCs w:val="24"/>
                <w:highlight w:val="none"/>
                <w:vertAlign w:val="baseline"/>
                <w:lang w:val="en-US" w:eastAsia="zh-CN" w:bidi="ar-SA"/>
              </w:rPr>
              <w:t>负责公司与各大银行、财税部门、知名企业、风险投资公司、民间资本等外联单位良好合作关系的建立与维护；</w:t>
            </w:r>
          </w:p>
          <w:p>
            <w:pPr>
              <w:keepNext w:val="0"/>
              <w:keepLines w:val="0"/>
              <w:pageBreakBefore w:val="0"/>
              <w:widowControl w:val="0"/>
              <w:numPr>
                <w:ilvl w:val="0"/>
                <w:numId w:val="1"/>
              </w:numPr>
              <w:kinsoku/>
              <w:wordWrap/>
              <w:overflowPunct/>
              <w:topLinePunct w:val="0"/>
              <w:autoSpaceDE/>
              <w:autoSpaceDN/>
              <w:bidi w:val="0"/>
              <w:adjustRightInd/>
              <w:snapToGrid/>
              <w:spacing w:line="300" w:lineRule="exact"/>
              <w:jc w:val="left"/>
              <w:textAlignment w:val="auto"/>
              <w:rPr>
                <w:rFonts w:hint="eastAsia" w:ascii="仿宋_GB2312" w:hAnsi="仿宋_GB2312" w:eastAsia="仿宋_GB2312" w:cs="仿宋_GB2312"/>
                <w:kern w:val="2"/>
                <w:sz w:val="24"/>
                <w:szCs w:val="24"/>
                <w:highlight w:val="none"/>
                <w:vertAlign w:val="baseline"/>
                <w:lang w:val="en-US" w:eastAsia="zh-CN" w:bidi="ar-SA"/>
              </w:rPr>
            </w:pPr>
            <w:r>
              <w:rPr>
                <w:rFonts w:hint="eastAsia" w:ascii="仿宋_GB2312" w:hAnsi="仿宋_GB2312" w:eastAsia="仿宋_GB2312" w:cs="仿宋_GB2312"/>
                <w:kern w:val="2"/>
                <w:sz w:val="24"/>
                <w:szCs w:val="24"/>
                <w:highlight w:val="none"/>
                <w:vertAlign w:val="baseline"/>
                <w:lang w:val="en-US" w:eastAsia="zh-CN" w:bidi="ar-SA"/>
              </w:rPr>
              <w:t>全面负责组织公司投融资工作，制定、完善公司投融资业务流程，在领导的指导下有效地开展投融资工作，并就工作动态向相关领导进行汇报，完成公司的目标；</w:t>
            </w:r>
          </w:p>
          <w:p>
            <w:pPr>
              <w:keepNext w:val="0"/>
              <w:keepLines w:val="0"/>
              <w:pageBreakBefore w:val="0"/>
              <w:widowControl w:val="0"/>
              <w:numPr>
                <w:ilvl w:val="0"/>
                <w:numId w:val="1"/>
              </w:numPr>
              <w:kinsoku/>
              <w:wordWrap/>
              <w:overflowPunct/>
              <w:topLinePunct w:val="0"/>
              <w:autoSpaceDE/>
              <w:autoSpaceDN/>
              <w:bidi w:val="0"/>
              <w:adjustRightInd/>
              <w:snapToGrid/>
              <w:spacing w:line="300" w:lineRule="exact"/>
              <w:jc w:val="left"/>
              <w:textAlignment w:val="auto"/>
              <w:rPr>
                <w:rFonts w:hint="eastAsia" w:ascii="仿宋_GB2312" w:hAnsi="仿宋_GB2312" w:eastAsia="仿宋_GB2312" w:cs="仿宋_GB2312"/>
                <w:kern w:val="2"/>
                <w:sz w:val="24"/>
                <w:szCs w:val="24"/>
                <w:highlight w:val="none"/>
                <w:vertAlign w:val="baseline"/>
                <w:lang w:val="en-US" w:eastAsia="zh-CN" w:bidi="ar-SA"/>
              </w:rPr>
            </w:pPr>
            <w:r>
              <w:rPr>
                <w:rFonts w:hint="eastAsia" w:ascii="仿宋_GB2312" w:hAnsi="仿宋_GB2312" w:eastAsia="仿宋_GB2312" w:cs="仿宋_GB2312"/>
                <w:kern w:val="2"/>
                <w:sz w:val="24"/>
                <w:szCs w:val="24"/>
                <w:highlight w:val="none"/>
                <w:vertAlign w:val="baseline"/>
                <w:lang w:val="en-US" w:eastAsia="zh-CN" w:bidi="ar-SA"/>
              </w:rPr>
              <w:t>负责指导监督公司日常的会计核算，保证会计核算的质量和会计资料的真实性；</w:t>
            </w:r>
          </w:p>
          <w:p>
            <w:pPr>
              <w:keepNext w:val="0"/>
              <w:keepLines w:val="0"/>
              <w:pageBreakBefore w:val="0"/>
              <w:widowControl w:val="0"/>
              <w:numPr>
                <w:ilvl w:val="0"/>
                <w:numId w:val="1"/>
              </w:numPr>
              <w:kinsoku/>
              <w:wordWrap/>
              <w:overflowPunct/>
              <w:topLinePunct w:val="0"/>
              <w:autoSpaceDE/>
              <w:autoSpaceDN/>
              <w:bidi w:val="0"/>
              <w:adjustRightInd/>
              <w:snapToGrid/>
              <w:spacing w:line="300" w:lineRule="exact"/>
              <w:jc w:val="left"/>
              <w:textAlignment w:val="auto"/>
              <w:rPr>
                <w:rFonts w:hint="eastAsia" w:ascii="仿宋_GB2312" w:hAnsi="仿宋_GB2312" w:eastAsia="仿宋_GB2312" w:cs="仿宋_GB2312"/>
                <w:kern w:val="2"/>
                <w:sz w:val="24"/>
                <w:szCs w:val="24"/>
                <w:highlight w:val="none"/>
                <w:vertAlign w:val="baseline"/>
                <w:lang w:val="en-US" w:eastAsia="zh-CN" w:bidi="ar-SA"/>
              </w:rPr>
            </w:pPr>
            <w:r>
              <w:rPr>
                <w:rFonts w:hint="eastAsia" w:ascii="仿宋_GB2312" w:hAnsi="仿宋_GB2312" w:eastAsia="仿宋_GB2312" w:cs="仿宋_GB2312"/>
                <w:kern w:val="2"/>
                <w:sz w:val="24"/>
                <w:szCs w:val="24"/>
                <w:highlight w:val="none"/>
                <w:vertAlign w:val="baseline"/>
                <w:lang w:val="en-US" w:eastAsia="zh-CN" w:bidi="ar-SA"/>
              </w:rPr>
              <w:t>负责牵头配合内部和外部审计及各监管机构完成对公司财务工作的审计检查；</w:t>
            </w:r>
          </w:p>
          <w:p>
            <w:pPr>
              <w:keepNext w:val="0"/>
              <w:keepLines w:val="0"/>
              <w:pageBreakBefore w:val="0"/>
              <w:widowControl w:val="0"/>
              <w:numPr>
                <w:ilvl w:val="0"/>
                <w:numId w:val="1"/>
              </w:numPr>
              <w:kinsoku/>
              <w:wordWrap/>
              <w:overflowPunct/>
              <w:topLinePunct w:val="0"/>
              <w:autoSpaceDE/>
              <w:autoSpaceDN/>
              <w:bidi w:val="0"/>
              <w:adjustRightInd/>
              <w:snapToGrid/>
              <w:spacing w:line="300" w:lineRule="exact"/>
              <w:jc w:val="left"/>
              <w:textAlignment w:val="auto"/>
              <w:rPr>
                <w:rFonts w:hint="eastAsia" w:ascii="仿宋_GB2312" w:hAnsi="仿宋_GB2312" w:eastAsia="仿宋_GB2312" w:cs="仿宋_GB2312"/>
                <w:kern w:val="2"/>
                <w:sz w:val="24"/>
                <w:szCs w:val="24"/>
                <w:highlight w:val="none"/>
                <w:vertAlign w:val="baseline"/>
                <w:lang w:val="en-US" w:eastAsia="zh-CN" w:bidi="ar-SA"/>
              </w:rPr>
            </w:pPr>
            <w:r>
              <w:rPr>
                <w:rFonts w:hint="eastAsia" w:ascii="仿宋_GB2312" w:hAnsi="仿宋_GB2312" w:eastAsia="仿宋_GB2312" w:cs="仿宋_GB2312"/>
                <w:kern w:val="2"/>
                <w:sz w:val="24"/>
                <w:szCs w:val="24"/>
                <w:highlight w:val="none"/>
                <w:vertAlign w:val="baseline"/>
                <w:lang w:val="en-US" w:eastAsia="zh-CN" w:bidi="ar-SA"/>
              </w:rPr>
              <w:t>对公司和子公司进行合理的税收安排和税务筹划，保障税务的合法、合规；</w:t>
            </w:r>
          </w:p>
          <w:p>
            <w:pPr>
              <w:keepNext w:val="0"/>
              <w:keepLines w:val="0"/>
              <w:pageBreakBefore w:val="0"/>
              <w:widowControl w:val="0"/>
              <w:numPr>
                <w:ilvl w:val="0"/>
                <w:numId w:val="1"/>
              </w:numPr>
              <w:kinsoku/>
              <w:wordWrap/>
              <w:overflowPunct/>
              <w:topLinePunct w:val="0"/>
              <w:autoSpaceDE/>
              <w:autoSpaceDN/>
              <w:bidi w:val="0"/>
              <w:adjustRightInd/>
              <w:snapToGrid/>
              <w:spacing w:line="300" w:lineRule="exact"/>
              <w:jc w:val="left"/>
              <w:textAlignment w:val="auto"/>
              <w:rPr>
                <w:rFonts w:hint="eastAsia" w:ascii="仿宋_GB2312" w:hAnsi="仿宋_GB2312" w:eastAsia="仿宋_GB2312" w:cs="仿宋_GB2312"/>
                <w:kern w:val="2"/>
                <w:sz w:val="24"/>
                <w:szCs w:val="24"/>
                <w:highlight w:val="none"/>
                <w:vertAlign w:val="baseline"/>
                <w:lang w:val="en-US" w:eastAsia="zh-CN" w:bidi="ar-SA"/>
              </w:rPr>
            </w:pPr>
            <w:r>
              <w:rPr>
                <w:rFonts w:hint="eastAsia" w:ascii="仿宋_GB2312" w:hAnsi="仿宋_GB2312" w:eastAsia="仿宋_GB2312" w:cs="仿宋_GB2312"/>
                <w:kern w:val="2"/>
                <w:sz w:val="24"/>
                <w:szCs w:val="24"/>
                <w:highlight w:val="none"/>
                <w:vertAlign w:val="baseline"/>
                <w:lang w:val="en-US" w:eastAsia="zh-CN" w:bidi="ar-SA"/>
              </w:rPr>
              <w:t>对公司拟获取项目及其他重大投资事项进行税务调研、纳税估算与税务筹划，最大限度降低交易税务成本及风险；</w:t>
            </w:r>
          </w:p>
          <w:p>
            <w:pPr>
              <w:keepNext w:val="0"/>
              <w:keepLines w:val="0"/>
              <w:pageBreakBefore w:val="0"/>
              <w:widowControl w:val="0"/>
              <w:numPr>
                <w:ilvl w:val="0"/>
                <w:numId w:val="1"/>
              </w:numPr>
              <w:kinsoku/>
              <w:wordWrap/>
              <w:overflowPunct/>
              <w:topLinePunct w:val="0"/>
              <w:autoSpaceDE/>
              <w:autoSpaceDN/>
              <w:bidi w:val="0"/>
              <w:adjustRightInd/>
              <w:snapToGrid/>
              <w:spacing w:line="300" w:lineRule="exact"/>
              <w:jc w:val="left"/>
              <w:textAlignment w:val="auto"/>
              <w:rPr>
                <w:rFonts w:hint="eastAsia" w:ascii="仿宋_GB2312" w:hAnsi="仿宋_GB2312" w:eastAsia="仿宋_GB2312" w:cs="仿宋_GB2312"/>
                <w:kern w:val="0"/>
                <w:sz w:val="24"/>
                <w:szCs w:val="24"/>
                <w:lang w:val="en-US" w:eastAsia="zh-CN"/>
              </w:rPr>
            </w:pPr>
            <w:r>
              <w:rPr>
                <w:rFonts w:hint="eastAsia" w:ascii="仿宋_GB2312" w:hAnsi="仿宋_GB2312" w:eastAsia="仿宋_GB2312" w:cs="仿宋_GB2312"/>
                <w:kern w:val="2"/>
                <w:sz w:val="24"/>
                <w:szCs w:val="24"/>
                <w:highlight w:val="none"/>
                <w:vertAlign w:val="baseline"/>
                <w:lang w:val="en-US" w:eastAsia="zh-CN" w:bidi="ar-SA"/>
              </w:rPr>
              <w:t>组织编制公司整体资金使用计划，对公司范围内的资金筹集、资金调度、资金使用实施有效管理，在公司范围内统一调配资金；</w:t>
            </w:r>
          </w:p>
          <w:p>
            <w:pPr>
              <w:keepNext w:val="0"/>
              <w:keepLines w:val="0"/>
              <w:pageBreakBefore w:val="0"/>
              <w:widowControl w:val="0"/>
              <w:numPr>
                <w:ilvl w:val="0"/>
                <w:numId w:val="1"/>
              </w:numPr>
              <w:kinsoku/>
              <w:wordWrap/>
              <w:overflowPunct/>
              <w:topLinePunct w:val="0"/>
              <w:autoSpaceDE/>
              <w:autoSpaceDN/>
              <w:bidi w:val="0"/>
              <w:adjustRightInd/>
              <w:snapToGrid/>
              <w:spacing w:line="300" w:lineRule="exact"/>
              <w:jc w:val="left"/>
              <w:textAlignment w:val="auto"/>
              <w:rPr>
                <w:rFonts w:hint="eastAsia" w:ascii="仿宋_GB2312" w:hAnsi="仿宋_GB2312" w:eastAsia="仿宋_GB2312" w:cs="仿宋_GB2312"/>
                <w:kern w:val="0"/>
                <w:sz w:val="24"/>
                <w:szCs w:val="24"/>
                <w:lang w:val="en-US" w:eastAsia="zh-CN"/>
              </w:rPr>
            </w:pPr>
            <w:r>
              <w:rPr>
                <w:rFonts w:hint="eastAsia" w:ascii="仿宋_GB2312" w:hAnsi="仿宋_GB2312" w:eastAsia="仿宋_GB2312" w:cs="仿宋_GB2312"/>
                <w:kern w:val="2"/>
                <w:sz w:val="24"/>
                <w:szCs w:val="24"/>
                <w:highlight w:val="none"/>
                <w:vertAlign w:val="baseline"/>
                <w:lang w:val="en-US" w:eastAsia="zh-CN" w:bidi="ar-SA"/>
              </w:rPr>
              <w:t>对公司整体财务分析编制各种财务分析报告，为公司决策提供参考；</w:t>
            </w:r>
          </w:p>
          <w:p>
            <w:pPr>
              <w:keepNext w:val="0"/>
              <w:keepLines w:val="0"/>
              <w:pageBreakBefore w:val="0"/>
              <w:widowControl w:val="0"/>
              <w:numPr>
                <w:ilvl w:val="0"/>
                <w:numId w:val="1"/>
              </w:numPr>
              <w:kinsoku/>
              <w:wordWrap/>
              <w:overflowPunct/>
              <w:topLinePunct w:val="0"/>
              <w:autoSpaceDE/>
              <w:autoSpaceDN/>
              <w:bidi w:val="0"/>
              <w:adjustRightInd/>
              <w:snapToGrid/>
              <w:spacing w:line="300" w:lineRule="exact"/>
              <w:jc w:val="left"/>
              <w:textAlignment w:val="auto"/>
              <w:rPr>
                <w:rFonts w:hint="eastAsia" w:ascii="仿宋_GB2312" w:hAnsi="仿宋_GB2312" w:eastAsia="仿宋_GB2312" w:cs="仿宋_GB2312"/>
                <w:kern w:val="0"/>
                <w:sz w:val="24"/>
                <w:szCs w:val="24"/>
                <w:lang w:val="en-US" w:eastAsia="zh-CN"/>
              </w:rPr>
            </w:pPr>
            <w:r>
              <w:rPr>
                <w:rFonts w:hint="eastAsia" w:ascii="仿宋_GB2312" w:hAnsi="仿宋_GB2312" w:eastAsia="仿宋_GB2312" w:cs="仿宋_GB2312"/>
                <w:kern w:val="2"/>
                <w:sz w:val="24"/>
                <w:szCs w:val="24"/>
                <w:highlight w:val="none"/>
                <w:vertAlign w:val="baseline"/>
                <w:lang w:val="en-US" w:eastAsia="zh-CN" w:bidi="ar-SA"/>
              </w:rPr>
              <w:t>完成董事会、总经理交办的其他工作。</w:t>
            </w:r>
          </w:p>
        </w:tc>
        <w:tc>
          <w:tcPr>
            <w:tcW w:w="1829" w:type="pct"/>
            <w:noWrap w:val="0"/>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300" w:lineRule="exact"/>
              <w:jc w:val="left"/>
              <w:textAlignment w:val="auto"/>
              <w:rPr>
                <w:rFonts w:hint="eastAsia" w:ascii="仿宋_GB2312" w:hAnsi="仿宋_GB2312" w:eastAsia="仿宋_GB2312" w:cs="仿宋_GB2312"/>
                <w:kern w:val="2"/>
                <w:sz w:val="24"/>
                <w:szCs w:val="24"/>
                <w:highlight w:val="none"/>
                <w:vertAlign w:val="baseline"/>
                <w:lang w:val="en-US" w:eastAsia="zh-CN" w:bidi="ar-SA"/>
              </w:rPr>
            </w:pPr>
            <w:r>
              <w:rPr>
                <w:rFonts w:hint="eastAsia" w:ascii="仿宋_GB2312" w:hAnsi="仿宋_GB2312" w:eastAsia="仿宋_GB2312" w:cs="仿宋_GB2312"/>
                <w:kern w:val="2"/>
                <w:sz w:val="24"/>
                <w:szCs w:val="24"/>
                <w:highlight w:val="none"/>
                <w:vertAlign w:val="baseline"/>
                <w:lang w:val="en-US" w:eastAsia="zh-CN" w:bidi="ar-SA"/>
              </w:rPr>
              <w:t>1.年龄45周岁以下（1979年5月XX日以后出生(招聘报名开始时间），大专及以上学历；</w:t>
            </w:r>
          </w:p>
          <w:p>
            <w:pPr>
              <w:keepNext w:val="0"/>
              <w:keepLines w:val="0"/>
              <w:pageBreakBefore w:val="0"/>
              <w:widowControl w:val="0"/>
              <w:numPr>
                <w:ilvl w:val="0"/>
                <w:numId w:val="0"/>
              </w:numPr>
              <w:kinsoku/>
              <w:wordWrap/>
              <w:overflowPunct/>
              <w:topLinePunct w:val="0"/>
              <w:autoSpaceDE/>
              <w:autoSpaceDN/>
              <w:bidi w:val="0"/>
              <w:adjustRightInd/>
              <w:snapToGrid/>
              <w:spacing w:line="300" w:lineRule="exact"/>
              <w:jc w:val="left"/>
              <w:textAlignment w:val="auto"/>
              <w:rPr>
                <w:rFonts w:hint="eastAsia" w:ascii="仿宋_GB2312" w:hAnsi="仿宋_GB2312" w:eastAsia="仿宋_GB2312" w:cs="仿宋_GB2312"/>
                <w:kern w:val="2"/>
                <w:sz w:val="24"/>
                <w:szCs w:val="24"/>
                <w:highlight w:val="none"/>
                <w:vertAlign w:val="baseline"/>
                <w:lang w:val="en-US" w:eastAsia="zh-CN" w:bidi="ar-SA"/>
              </w:rPr>
            </w:pPr>
            <w:r>
              <w:rPr>
                <w:rFonts w:hint="eastAsia" w:ascii="仿宋_GB2312" w:hAnsi="仿宋_GB2312" w:eastAsia="仿宋_GB2312" w:cs="仿宋_GB2312"/>
                <w:kern w:val="2"/>
                <w:sz w:val="24"/>
                <w:szCs w:val="24"/>
                <w:highlight w:val="none"/>
                <w:vertAlign w:val="baseline"/>
                <w:lang w:val="en-US" w:eastAsia="zh-CN" w:bidi="ar-SA"/>
              </w:rPr>
              <w:t>2.经济学类、财政学类、金融学类、工商管理类（会计学、财务管理、审计学、财务会计教育）专业；</w:t>
            </w:r>
          </w:p>
          <w:p>
            <w:pPr>
              <w:keepNext w:val="0"/>
              <w:keepLines w:val="0"/>
              <w:pageBreakBefore w:val="0"/>
              <w:widowControl w:val="0"/>
              <w:numPr>
                <w:ilvl w:val="0"/>
                <w:numId w:val="0"/>
              </w:numPr>
              <w:kinsoku/>
              <w:wordWrap/>
              <w:overflowPunct/>
              <w:topLinePunct w:val="0"/>
              <w:autoSpaceDE/>
              <w:autoSpaceDN/>
              <w:bidi w:val="0"/>
              <w:adjustRightInd/>
              <w:snapToGrid/>
              <w:spacing w:line="300" w:lineRule="exact"/>
              <w:jc w:val="left"/>
              <w:textAlignment w:val="auto"/>
              <w:rPr>
                <w:rFonts w:hint="eastAsia" w:ascii="仿宋_GB2312" w:hAnsi="仿宋_GB2312" w:eastAsia="仿宋_GB2312" w:cs="仿宋_GB2312"/>
                <w:kern w:val="2"/>
                <w:sz w:val="24"/>
                <w:szCs w:val="24"/>
                <w:highlight w:val="none"/>
                <w:vertAlign w:val="baseline"/>
                <w:lang w:val="en-US" w:eastAsia="zh-CN" w:bidi="ar-SA"/>
              </w:rPr>
            </w:pPr>
            <w:r>
              <w:rPr>
                <w:rFonts w:hint="eastAsia" w:ascii="仿宋_GB2312" w:hAnsi="仿宋_GB2312" w:eastAsia="仿宋_GB2312" w:cs="仿宋_GB2312"/>
                <w:kern w:val="2"/>
                <w:sz w:val="24"/>
                <w:szCs w:val="24"/>
                <w:highlight w:val="none"/>
                <w:vertAlign w:val="baseline"/>
                <w:lang w:val="en-US" w:eastAsia="zh-CN" w:bidi="ar-SA"/>
              </w:rPr>
              <w:t>3.具有中级及以上会计职称。具有高级职称或</w:t>
            </w:r>
            <w:r>
              <w:rPr>
                <w:rFonts w:hint="eastAsia" w:ascii="仿宋_GB2312" w:hAnsi="仿宋_GB2312" w:eastAsia="仿宋_GB2312" w:cs="仿宋_GB2312"/>
                <w:color w:val="auto"/>
                <w:kern w:val="2"/>
                <w:sz w:val="24"/>
                <w:szCs w:val="24"/>
                <w:highlight w:val="none"/>
                <w:vertAlign w:val="baseline"/>
                <w:lang w:val="en-US" w:eastAsia="zh-CN" w:bidi="ar-SA"/>
              </w:rPr>
              <w:t>注册会计师的</w:t>
            </w:r>
            <w:r>
              <w:rPr>
                <w:rFonts w:hint="eastAsia" w:ascii="仿宋_GB2312" w:hAnsi="仿宋_GB2312" w:eastAsia="仿宋_GB2312" w:cs="仿宋_GB2312"/>
                <w:kern w:val="2"/>
                <w:sz w:val="24"/>
                <w:szCs w:val="24"/>
                <w:highlight w:val="none"/>
                <w:vertAlign w:val="baseline"/>
                <w:lang w:val="en-US" w:eastAsia="zh-CN" w:bidi="ar-SA"/>
              </w:rPr>
              <w:t>应聘人员年龄放宽至52周岁，1972年5月以后出生。</w:t>
            </w:r>
          </w:p>
          <w:p>
            <w:pPr>
              <w:keepNext w:val="0"/>
              <w:keepLines w:val="0"/>
              <w:pageBreakBefore w:val="0"/>
              <w:widowControl w:val="0"/>
              <w:numPr>
                <w:ilvl w:val="0"/>
                <w:numId w:val="0"/>
              </w:numPr>
              <w:kinsoku/>
              <w:wordWrap/>
              <w:overflowPunct/>
              <w:topLinePunct w:val="0"/>
              <w:autoSpaceDE/>
              <w:autoSpaceDN/>
              <w:bidi w:val="0"/>
              <w:adjustRightInd/>
              <w:snapToGrid/>
              <w:spacing w:line="300" w:lineRule="exact"/>
              <w:jc w:val="left"/>
              <w:textAlignment w:val="auto"/>
              <w:rPr>
                <w:rFonts w:hint="eastAsia" w:ascii="仿宋_GB2312" w:hAnsi="仿宋_GB2312" w:eastAsia="仿宋_GB2312" w:cs="仿宋_GB2312"/>
                <w:kern w:val="2"/>
                <w:sz w:val="24"/>
                <w:szCs w:val="24"/>
                <w:highlight w:val="none"/>
                <w:vertAlign w:val="baseline"/>
                <w:lang w:val="en-US" w:eastAsia="zh-CN" w:bidi="ar-SA"/>
              </w:rPr>
            </w:pPr>
            <w:r>
              <w:rPr>
                <w:rFonts w:hint="eastAsia" w:ascii="仿宋_GB2312" w:hAnsi="仿宋_GB2312" w:eastAsia="仿宋_GB2312" w:cs="仿宋_GB2312"/>
                <w:kern w:val="2"/>
                <w:sz w:val="24"/>
                <w:szCs w:val="24"/>
                <w:highlight w:val="none"/>
                <w:vertAlign w:val="baseline"/>
                <w:lang w:val="en-US" w:eastAsia="zh-CN" w:bidi="ar-SA"/>
              </w:rPr>
              <w:t>4.具有5年以上财务工作经验，3年以上中层及以上财务管理工作经验。具有房地产、金融或投资类行业经验优先；具有国有控股公司财务管理经验或知名投资机构高管任职经历者优先；</w:t>
            </w:r>
          </w:p>
          <w:p>
            <w:pPr>
              <w:pStyle w:val="5"/>
              <w:keepNext w:val="0"/>
              <w:keepLines w:val="0"/>
              <w:pageBreakBefore w:val="0"/>
              <w:widowControl w:val="0"/>
              <w:numPr>
                <w:ilvl w:val="0"/>
                <w:numId w:val="0"/>
              </w:numPr>
              <w:kinsoku/>
              <w:wordWrap/>
              <w:overflowPunct/>
              <w:topLinePunct w:val="0"/>
              <w:autoSpaceDE/>
              <w:autoSpaceDN/>
              <w:bidi w:val="0"/>
              <w:adjustRightInd/>
              <w:snapToGrid/>
              <w:spacing w:line="300" w:lineRule="exact"/>
              <w:jc w:val="left"/>
              <w:textAlignment w:val="auto"/>
              <w:rPr>
                <w:rFonts w:hint="eastAsia" w:ascii="仿宋_GB2312" w:hAnsi="仿宋_GB2312" w:eastAsia="仿宋_GB2312" w:cs="仿宋_GB2312"/>
                <w:kern w:val="2"/>
                <w:sz w:val="24"/>
                <w:szCs w:val="24"/>
                <w:highlight w:val="none"/>
                <w:vertAlign w:val="baseline"/>
                <w:lang w:val="en-US" w:eastAsia="zh-CN" w:bidi="ar-SA"/>
              </w:rPr>
            </w:pPr>
            <w:r>
              <w:rPr>
                <w:rFonts w:hint="eastAsia" w:ascii="仿宋_GB2312" w:hAnsi="仿宋_GB2312" w:cs="仿宋_GB2312"/>
                <w:kern w:val="2"/>
                <w:sz w:val="24"/>
                <w:szCs w:val="24"/>
                <w:highlight w:val="none"/>
                <w:vertAlign w:val="baseline"/>
                <w:lang w:val="en-US" w:eastAsia="zh-CN" w:bidi="ar-SA"/>
              </w:rPr>
              <w:t>5</w:t>
            </w:r>
            <w:r>
              <w:rPr>
                <w:rFonts w:hint="eastAsia" w:ascii="仿宋_GB2312" w:hAnsi="仿宋_GB2312" w:eastAsia="仿宋_GB2312" w:cs="仿宋_GB2312"/>
                <w:kern w:val="2"/>
                <w:sz w:val="24"/>
                <w:szCs w:val="24"/>
                <w:highlight w:val="none"/>
                <w:vertAlign w:val="baseline"/>
                <w:lang w:val="en-US" w:eastAsia="zh-CN" w:bidi="ar-SA"/>
              </w:rPr>
              <w:t>.精通财务管理知识、证券金融知识和各类资本运作流程及相关产业政策，具备市场前瞻性和成功操作融资项目全过程工作经验，熟悉公司从事行业相关的资本市场政策、法规；</w:t>
            </w:r>
          </w:p>
          <w:p>
            <w:pPr>
              <w:keepNext w:val="0"/>
              <w:keepLines w:val="0"/>
              <w:pageBreakBefore w:val="0"/>
              <w:widowControl w:val="0"/>
              <w:kinsoku/>
              <w:wordWrap/>
              <w:overflowPunct/>
              <w:topLinePunct w:val="0"/>
              <w:autoSpaceDE/>
              <w:autoSpaceDN/>
              <w:bidi w:val="0"/>
              <w:adjustRightInd/>
              <w:snapToGrid/>
              <w:spacing w:line="300" w:lineRule="exact"/>
              <w:jc w:val="left"/>
              <w:textAlignment w:val="auto"/>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kern w:val="2"/>
                <w:sz w:val="24"/>
                <w:szCs w:val="24"/>
                <w:highlight w:val="none"/>
                <w:vertAlign w:val="baseline"/>
                <w:lang w:val="en-US" w:eastAsia="zh-CN" w:bidi="ar-SA"/>
              </w:rPr>
              <w:t>6.熟练操作常用office软件，精通excel软件；熟练操作财务软件。</w:t>
            </w:r>
          </w:p>
        </w:tc>
      </w:tr>
    </w:tbl>
    <w:p/>
    <w:sectPr>
      <w:pgSz w:w="16838" w:h="11906" w:orient="landscape"/>
      <w:pgMar w:top="1463" w:right="1440" w:bottom="1179" w:left="1440" w:header="851" w:footer="992" w:gutter="0"/>
      <w:paperSrc/>
      <w:cols w:space="0" w:num="1"/>
      <w:rtlGutter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7A"/>
    <w:family w:val="auto"/>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embedRegular r:id="rId1" w:fontKey="{2E11DC67-39A9-4FEC-A797-2659267E66E2}"/>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 w:name="方正公文小标宋">
    <w:panose1 w:val="02000500000000000000"/>
    <w:charset w:val="86"/>
    <w:family w:val="auto"/>
    <w:pitch w:val="default"/>
    <w:sig w:usb0="A00002BF" w:usb1="38CF7CFA" w:usb2="00000016" w:usb3="00000000" w:csb0="00040001" w:csb1="00000000"/>
    <w:embedRegular r:id="rId2" w:fontKey="{21294D08-CB0F-4737-BCE9-1CA49B0C8F85}"/>
  </w:font>
  <w:font w:name="仿宋_GB2312">
    <w:panose1 w:val="02010609030101010101"/>
    <w:charset w:val="86"/>
    <w:family w:val="modern"/>
    <w:pitch w:val="default"/>
    <w:sig w:usb0="00000001" w:usb1="080E0000" w:usb2="00000000" w:usb3="00000000" w:csb0="00040000" w:csb1="00000000"/>
    <w:embedRegular r:id="rId3" w:fontKey="{822658BE-BB95-4CAC-BC24-1E2971406448}"/>
  </w:font>
  <w:font w:name="楷体_GB2312">
    <w:panose1 w:val="02010609030101010101"/>
    <w:charset w:val="86"/>
    <w:family w:val="modern"/>
    <w:pitch w:val="default"/>
    <w:sig w:usb0="00000001" w:usb1="080E0000" w:usb2="00000000" w:usb3="00000000" w:csb0="00040000" w:csb1="00000000"/>
    <w:embedRegular r:id="rId4" w:fontKey="{C990EA34-4F63-4E75-B8ED-1D3133D52CF7}"/>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AA2015FE"/>
    <w:multiLevelType w:val="singleLevel"/>
    <w:tmpl w:val="AA2015FE"/>
    <w:lvl w:ilvl="0" w:tentative="0">
      <w:start w:val="1"/>
      <w:numFmt w:val="decimal"/>
      <w:lvlText w:val="%1."/>
      <w:lvlJc w:val="left"/>
      <w:pPr>
        <w:tabs>
          <w:tab w:val="left" w:pos="312"/>
        </w:tabs>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WYzMjdkM2NlZTU5M2M2ZWJlOTFkNjNiZGU4OGU3NTcifQ=="/>
  </w:docVars>
  <w:rsids>
    <w:rsidRoot w:val="3D446215"/>
    <w:rsid w:val="3D44621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qFormat="1" w:unhideWhenUsed="0" w:uiPriority="99"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8">
    <w:name w:val="Default Paragraph Font"/>
    <w:semiHidden/>
    <w:uiPriority w:val="0"/>
  </w:style>
  <w:style w:type="table" w:default="1" w:styleId="6">
    <w:name w:val="Normal Table"/>
    <w:semiHidden/>
    <w:uiPriority w:val="0"/>
    <w:tblPr>
      <w:tblCellMar>
        <w:top w:w="0" w:type="dxa"/>
        <w:left w:w="108" w:type="dxa"/>
        <w:bottom w:w="0" w:type="dxa"/>
        <w:right w:w="108" w:type="dxa"/>
      </w:tblCellMar>
    </w:tblPr>
  </w:style>
  <w:style w:type="paragraph" w:styleId="2">
    <w:name w:val="Body Text Indent"/>
    <w:basedOn w:val="1"/>
    <w:next w:val="3"/>
    <w:qFormat/>
    <w:uiPriority w:val="0"/>
    <w:pPr>
      <w:ind w:firstLine="547" w:firstLineChars="171"/>
    </w:pPr>
    <w:rPr>
      <w:sz w:val="32"/>
      <w:szCs w:val="20"/>
    </w:rPr>
  </w:style>
  <w:style w:type="paragraph" w:styleId="3">
    <w:name w:val="footer"/>
    <w:basedOn w:val="1"/>
    <w:next w:val="1"/>
    <w:qFormat/>
    <w:uiPriority w:val="0"/>
    <w:pPr>
      <w:tabs>
        <w:tab w:val="center" w:pos="4153"/>
        <w:tab w:val="right" w:pos="8306"/>
      </w:tabs>
      <w:snapToGrid w:val="0"/>
      <w:jc w:val="left"/>
    </w:pPr>
    <w:rPr>
      <w:sz w:val="18"/>
      <w:szCs w:val="18"/>
    </w:rPr>
  </w:style>
  <w:style w:type="paragraph" w:styleId="4">
    <w:name w:val="Body Text Indent 2"/>
    <w:basedOn w:val="1"/>
    <w:next w:val="1"/>
    <w:qFormat/>
    <w:uiPriority w:val="99"/>
    <w:pPr>
      <w:spacing w:after="120" w:line="480" w:lineRule="auto"/>
      <w:ind w:left="420" w:leftChars="200"/>
    </w:pPr>
    <w:rPr>
      <w:rFonts w:eastAsia="仿宋_GB2312"/>
      <w:kern w:val="0"/>
    </w:rPr>
  </w:style>
  <w:style w:type="paragraph" w:styleId="5">
    <w:name w:val="Body Text First Indent 2"/>
    <w:basedOn w:val="2"/>
    <w:next w:val="1"/>
    <w:qFormat/>
    <w:uiPriority w:val="0"/>
    <w:pPr>
      <w:tabs>
        <w:tab w:val="left" w:pos="960"/>
      </w:tabs>
      <w:spacing w:after="0" w:line="540" w:lineRule="exact"/>
      <w:ind w:left="0" w:leftChars="0" w:firstLine="420" w:firstLineChars="200"/>
    </w:pPr>
    <w:rPr>
      <w:sz w:val="32"/>
      <w:szCs w:val="32"/>
    </w:rPr>
  </w:style>
  <w:style w:type="table" w:styleId="7">
    <w:name w:val="Table Grid"/>
    <w:basedOn w:val="6"/>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Office_12.1.0.16729_F1E327BC-269C-435d-A152-05C5408002CA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2024-05-13T07:26:00Z</dcterms:created>
  <dc:creator>Administrator</dc:creator>
  <cp:lastModifiedBy>Administrator</cp:lastModifiedBy>
  <dcterms:modified xsi:type="dcterms:W3CDTF">2024-05-13T07:27:43Z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2052-12.1.0.16729</vt:lpwstr>
  </property>
  <property fmtid="{D5CDD505-2E9C-101B-9397-08002B2CF9AE}" pid="3" name="ICV">
    <vt:lpwstr>39126A1D845C46898313BCE4D004857C_11</vt:lpwstr>
  </property>
</Properties>
</file>